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Año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2025</w:t>
            </w:r>
          </w:p>
        </w:tc>
        <w:tc>
          <w:tcPr/>
          <w:p>
            <w:pPr/>
            <w:r>
              <w:rPr/>
              <w:t xml:space="preserve">En el ejercicio de 2025 no se ha realizado un plan económico</w:t>
            </w:r>
          </w:p>
        </w:tc>
        <w:tc>
          <w:tcPr/>
          <w:p>
            <w:pPr/>
            <w:r>
              <w:rPr/>
              <w:t xml:space="preserve"> 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2024</w:t>
            </w:r>
          </w:p>
        </w:tc>
        <w:tc>
          <w:tcPr/>
          <w:p>
            <w:pPr/>
            <w:r>
              <w:rPr/>
              <w:t xml:space="preserve">Certificado no existencia planes economicos 2024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2023</w:t>
            </w:r>
          </w:p>
        </w:tc>
        <w:tc>
          <w:tcPr/>
          <w:p>
            <w:pPr/>
            <w:r>
              <w:rPr/>
              <w:t xml:space="preserve">Certificado no existencia planes economicos 2023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2026-05-13T11:06:47+00:00</dcterms:created>
  <dcterms:modified xsi:type="dcterms:W3CDTF">2026-05-13T11:06:47+00:00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