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los años 2023, 2024 y 2025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03100" w:type="dxa"/>
        <w:gridCol w:w="41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3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03100" w:type="pct"/>
          </w:tcPr>
          <w:p>
            <w:pPr/>
            <w:r>
              <w:rPr/>
              <w:t xml:space="preserve">Certificado de no participación en la elaboración de los textos normativos 2024</w:t>
            </w:r>
          </w:p>
        </w:tc>
        <w:tc>
          <w:tcPr>
            <w:tcW w:w="41050" w:type="pct"/>
          </w:tcPr>
          <w:p>
            <w:pPr/>
          </w:p>
        </w:tc>
      </w:tr>
      <w:tr>
        <w:trPr/>
        <w:tc>
          <w:tcPr>
            <w:tcW w:w="103100" w:type="pct"/>
          </w:tcPr>
          <w:p>
            <w:pPr/>
            <w:r>
              <w:rPr/>
              <w:t xml:space="preserve">Certificado de no participación en la elaboración de los textos normativos 2023</w:t>
            </w:r>
          </w:p>
        </w:tc>
        <w:tc>
          <w:tcPr>
            <w:tcW w:w="41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2026-05-13T11:32:39+00:00</dcterms:created>
  <dcterms:modified xsi:type="dcterms:W3CDTF">2026-05-13T11:32:39+00:00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