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400" w:type="dxa"/>
        <w:gridCol w:w="457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7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400" w:type="pct"/>
          </w:tcPr>
          <w:p>
            <w:pPr/>
            <w:r>
              <w:rPr/>
              <w:t xml:space="preserve">Plan Estratégico de Subvenciones 2025</w:t>
            </w:r>
          </w:p>
        </w:tc>
        <w:tc>
          <w:tcPr>
            <w:tcW w:w="457600" w:type="pct"/>
          </w:tcPr>
          <w:p>
            <w:pPr/>
          </w:p>
        </w:tc>
      </w:tr>
      <w:tr>
        <w:trPr/>
        <w:tc>
          <w:tcPr>
            <w:tcW w:w="42400" w:type="pct"/>
          </w:tcPr>
          <w:p>
            <w:pPr/>
            <w:r>
              <w:rPr/>
              <w:t xml:space="preserve">Plan Estratégico de Subvenciones 2023 y 2024 </w:t>
            </w:r>
          </w:p>
        </w:tc>
        <w:tc>
          <w:tcPr>
            <w:tcW w:w="457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2026-05-13T11:32:15+00:00</dcterms:created>
  <dcterms:modified xsi:type="dcterms:W3CDTF">2026-05-13T11:32:15+00:00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