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licitaciones tramitadas  tienen exclusivamente,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“Aldea de San Nicolás”</w:t>
      </w:r>
      <w:r>
        <w:rPr/>
        <w:t xml:space="preserve"> en organización contratante. Se desplegarán dos perfiles: 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2026-05-13T11:31:58+00:00</dcterms:created>
  <dcterms:modified xsi:type="dcterms:W3CDTF">2026-05-13T11:31:58+00:00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