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Al objeto de dar cumplimiento a los Indicadores de la Ley Canaria de Transparencia y de acceso a la información pública (Ley 12/2014, de 26 de diciembre) en su apartado 4. Empleo del Sector Público / 1044 Número de liberados/as sindicales, sindicato al que pertenecen, número de horas sindicales utilizadas por sindicato y, en el caso de las entidades del sector público local, coste de las liberaciones, el Ayuntamiento de la Aldea de San Nicolás pone en conocimiento de la ciudadanía del municipio y del público en general que en los años 2023, 2024 y </w:t>
      </w:r>
      <w:r>
        <w:rPr>
          <w:b w:val="1"/>
          <w:bCs w:val="1"/>
        </w:rPr>
        <w:t xml:space="preserve">en este Ayuntamiento no existen ni han existido liberados sindicales, </w:t>
      </w:r>
      <w:r>
        <w:rPr/>
        <w:t xml:space="preserve">por tanto, se presupone que no hay actividad,  pudiendo utilizar la ciudadanía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2026-09-26T23:13:06+00:00</dcterms:created>
  <dcterms:modified xsi:type="dcterms:W3CDTF">2026-09-26T23:13:06+00:00</dcterms:modified>
</cp:coreProperties>
</file>

<file path=docProps/custom.xml><?xml version="1.0" encoding="utf-8"?>
<Properties xmlns="http://schemas.openxmlformats.org/officeDocument/2006/custom-properties" xmlns:vt="http://schemas.openxmlformats.org/officeDocument/2006/docPropsVTypes"/>
</file>