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5.Retribuciones / 1050 - Indemnizaciones percibidas con ocasión del abandono del cargo, el Ayuntamiento de la Aldea de San Nicolás pone en conocimiento de la ciudadanía del municipio y del público en general que </w:t>
      </w:r>
      <w:r>
        <w:rPr>
          <w:b w:val="1"/>
          <w:bCs w:val="1"/>
        </w:rPr>
        <w:t xml:space="preserve">en este Ayuntamiento no existen indemnizaciones percibidas por ocasión del abandono del cargo en los ejercicios 2022, 2023, 2024, y 2025</w:t>
      </w:r>
      <w:r>
        <w:rPr/>
        <w:t xml:space="preserve"> 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2026-08-12T12:28:58+00:00</dcterms:created>
  <dcterms:modified xsi:type="dcterms:W3CDTF">2026-08-12T12:28:58+00:00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