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"1074 - Sentencias que afecten a la vigencia e interpretación de las normas dictadas por la entidad", el Ayuntamiento de la Aldea de San Nicolás, confirma que </w:t>
      </w:r>
      <w:r>
        <w:rPr>
          <w:b w:val="1"/>
          <w:bCs w:val="1"/>
        </w:rPr>
        <w:t xml:space="preserve">en los años 2023, 2024  y 2025 no existe información,</w:t>
      </w:r>
      <w:r>
        <w:rPr/>
        <w:t xml:space="preserve"> 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03100" w:type="dxa"/>
        <w:gridCol w:w="41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3100" w:type="pct"/>
          </w:tcPr>
          <w:p>
            <w:pPr/>
            <w:r>
              <w:rPr/>
              <w:t xml:space="preserve">Ausencia de Sentencias de interpretación normativa</w:t>
            </w:r>
          </w:p>
        </w:tc>
        <w:tc>
          <w:tcPr>
            <w:tcW w:w="41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2026-09-26T23:13:52+00:00</dcterms:created>
  <dcterms:modified xsi:type="dcterms:W3CDTF">2026-09-26T23:13:52+00:00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