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6. Normativa sobre "1074 - Sentencias que afecten a la vigencia e interpretación de las normas dictadas por la entidad", el Ayuntamiento de la Aldea de San Nicolás, confirma que </w:t>
      </w:r>
      <w:r>
        <w:rPr>
          <w:b w:val="1"/>
          <w:bCs w:val="1"/>
        </w:rPr>
        <w:t xml:space="preserve">en los años 2023, 2024  y 2025 no existe información,</w:t>
      </w:r>
      <w:r>
        <w:rPr/>
        <w:t xml:space="preserve"> suponiéndose por tanto la no existencia de tal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103100" w:type="dxa"/>
        <w:gridCol w:w="41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03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03100" w:type="pct"/>
          </w:tcPr>
          <w:p>
            <w:pPr/>
            <w:r>
              <w:rPr/>
              <w:t xml:space="preserve">Ausencia de Sentencias de interpretación normativa</w:t>
            </w:r>
          </w:p>
        </w:tc>
        <w:tc>
          <w:tcPr>
            <w:tcW w:w="41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2026-08-12T12:29:16+00:00</dcterms:created>
  <dcterms:modified xsi:type="dcterms:W3CDTF">2026-08-12T12:29:16+00:00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